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7BCA" w14:textId="4011A986" w:rsidR="002C44D3" w:rsidRPr="002C44D3" w:rsidRDefault="002C44D3" w:rsidP="002C44D3">
      <w:pPr>
        <w:pStyle w:val="NormalWeb"/>
        <w:rPr>
          <w:rFonts w:asciiTheme="minorHAnsi" w:hAnsiTheme="minorHAnsi"/>
          <w:b/>
          <w:bCs/>
          <w:lang w:val="en-US"/>
        </w:rPr>
      </w:pPr>
      <w:r w:rsidRPr="002C44D3">
        <w:rPr>
          <w:rFonts w:ascii="Love Ya Like A Sister" w:hAnsi="Love Ya Like A Sister"/>
          <w:b/>
          <w:bCs/>
          <w:lang w:val="en-US"/>
        </w:rPr>
        <w:t>Translation:</w:t>
      </w:r>
      <w:r w:rsidRPr="002C44D3">
        <w:rPr>
          <w:rFonts w:asciiTheme="minorHAnsi" w:hAnsiTheme="minorHAnsi"/>
          <w:b/>
          <w:bCs/>
          <w:lang w:val="en-US"/>
        </w:rPr>
        <w:t xml:space="preserve"> </w:t>
      </w:r>
      <w:r w:rsidR="00ED6571" w:rsidRPr="00ED6571">
        <w:rPr>
          <w:rFonts w:asciiTheme="minorHAnsi" w:hAnsiTheme="minorHAnsi"/>
          <w:b/>
          <w:bCs/>
          <w:color w:val="0070C0"/>
          <w:lang w:val="en-US"/>
        </w:rPr>
        <w:t>Greek</w:t>
      </w:r>
    </w:p>
    <w:p w14:paraId="597322F1" w14:textId="202BFCB2" w:rsidR="00AB758E" w:rsidRPr="002C44D3" w:rsidRDefault="00AB758E" w:rsidP="002C44D3">
      <w:pPr>
        <w:pStyle w:val="NormalWeb"/>
        <w:jc w:val="center"/>
        <w:rPr>
          <w:rFonts w:asciiTheme="minorHAnsi" w:hAnsiTheme="minorHAnsi" w:cstheme="minorHAnsi"/>
          <w:lang w:val="en-US"/>
        </w:rPr>
      </w:pPr>
      <w:r w:rsidRPr="002C44D3">
        <w:rPr>
          <w:rFonts w:asciiTheme="minorHAnsi" w:hAnsiTheme="minorHAnsi" w:cstheme="minorHAnsi"/>
          <w:lang w:val="en-US"/>
        </w:rPr>
        <w:t>Six facts on Packaging and packaging waste's environmental impact</w:t>
      </w:r>
    </w:p>
    <w:p w14:paraId="1E16DBE4" w14:textId="29FC5934" w:rsidR="00EF6D4A" w:rsidRPr="002C44D3" w:rsidRDefault="00EF6D4A" w:rsidP="002C44D3">
      <w:pPr>
        <w:pStyle w:val="NormalWeb"/>
        <w:jc w:val="center"/>
        <w:rPr>
          <w:rFonts w:asciiTheme="minorHAnsi" w:hAnsiTheme="minorHAnsi" w:cstheme="minorHAnsi"/>
          <w:b/>
          <w:bCs/>
          <w:color w:val="0070C0"/>
          <w:lang w:val="el-GR"/>
        </w:rPr>
      </w:pP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 xml:space="preserve">Έξι στοιχεία για τις περιβαλλοντικές επιπτώσεις των συσκευασιών και των </w:t>
      </w:r>
      <w:r w:rsidR="002C44D3" w:rsidRPr="002C44D3">
        <w:rPr>
          <w:rFonts w:asciiTheme="minorHAnsi" w:hAnsiTheme="minorHAnsi" w:cstheme="minorHAnsi"/>
          <w:b/>
          <w:bCs/>
          <w:color w:val="0070C0"/>
          <w:lang w:val="el-GR"/>
        </w:rPr>
        <w:t xml:space="preserve">αποβλήτων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συσκευασίας</w:t>
      </w:r>
    </w:p>
    <w:p w14:paraId="3F5EDAAF" w14:textId="5BDB3D84" w:rsidR="00AB758E" w:rsidRPr="002C44D3" w:rsidRDefault="00AB758E" w:rsidP="00EF6D4A">
      <w:pPr>
        <w:pStyle w:val="cvgsua"/>
        <w:numPr>
          <w:ilvl w:val="0"/>
          <w:numId w:val="1"/>
        </w:numPr>
        <w:rPr>
          <w:rStyle w:val="oypena"/>
          <w:rFonts w:asciiTheme="minorHAnsi" w:hAnsiTheme="minorHAnsi" w:cstheme="minorHAnsi"/>
          <w:color w:val="67595E"/>
          <w:lang w:val="en-US"/>
        </w:rPr>
      </w:pP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In 2020, the EU27 produced a total of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79.3 million ton</w:t>
      </w:r>
      <w:r w:rsidR="00ED6571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ne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s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of packaging waste, 177 kg per person.</w:t>
      </w:r>
    </w:p>
    <w:p w14:paraId="32BB4FB7" w14:textId="711B23FB" w:rsidR="00C244FE" w:rsidRPr="002C44D3" w:rsidRDefault="00C244FE" w:rsidP="002C44D3">
      <w:pPr>
        <w:pStyle w:val="NormalWeb"/>
        <w:ind w:left="720"/>
        <w:rPr>
          <w:rFonts w:asciiTheme="minorHAnsi" w:hAnsiTheme="minorHAnsi" w:cstheme="minorHAnsi"/>
          <w:color w:val="0070C0"/>
          <w:lang w:val="el-GR"/>
        </w:rPr>
      </w:pPr>
      <w:r w:rsidRPr="002C44D3">
        <w:rPr>
          <w:rFonts w:asciiTheme="minorHAnsi" w:hAnsiTheme="minorHAnsi" w:cstheme="minorHAnsi"/>
          <w:color w:val="0070C0"/>
          <w:lang w:val="el-GR"/>
        </w:rPr>
        <w:t xml:space="preserve">Το 2020, η ΕΕ των 27 παρήγαγε συνολικά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79,3 εκατομμύρια τόνους απο</w:t>
      </w:r>
      <w:r w:rsidR="002C44D3" w:rsidRPr="002C44D3">
        <w:rPr>
          <w:rFonts w:asciiTheme="minorHAnsi" w:hAnsiTheme="minorHAnsi" w:cstheme="minorHAnsi"/>
          <w:b/>
          <w:bCs/>
          <w:color w:val="0070C0"/>
          <w:lang w:val="el-GR"/>
        </w:rPr>
        <w:t>βλήτων</w:t>
      </w:r>
      <w:r w:rsidR="002C44D3" w:rsidRPr="002C44D3">
        <w:rPr>
          <w:rFonts w:asciiTheme="minorHAnsi" w:hAnsiTheme="minorHAnsi" w:cstheme="minorHAnsi"/>
          <w:color w:val="0070C0"/>
          <w:lang w:val="el-GR"/>
        </w:rPr>
        <w:t xml:space="preserve"> </w:t>
      </w:r>
      <w:r w:rsidRPr="002C44D3">
        <w:rPr>
          <w:rFonts w:asciiTheme="minorHAnsi" w:hAnsiTheme="minorHAnsi" w:cstheme="minorHAnsi"/>
          <w:color w:val="0070C0"/>
          <w:lang w:val="el-GR"/>
        </w:rPr>
        <w:t>συσκευασίας, που αντιστοιχούν σε 177 κιλά ανά άτομο.</w:t>
      </w:r>
    </w:p>
    <w:p w14:paraId="71606D18" w14:textId="72B04813" w:rsidR="00AB758E" w:rsidRPr="002C44D3" w:rsidRDefault="00AB758E" w:rsidP="00EF6D4A">
      <w:pPr>
        <w:pStyle w:val="cvgsua"/>
        <w:numPr>
          <w:ilvl w:val="0"/>
          <w:numId w:val="1"/>
        </w:numPr>
        <w:rPr>
          <w:rStyle w:val="oypena"/>
          <w:rFonts w:asciiTheme="minorHAnsi" w:hAnsiTheme="minorHAnsi" w:cstheme="minorHAnsi"/>
          <w:color w:val="67595E"/>
          <w:lang w:val="en-US"/>
        </w:rPr>
      </w:pP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Packaging accounts for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40% of the plastics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and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50% of the paper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utilized within the EU.</w:t>
      </w:r>
    </w:p>
    <w:p w14:paraId="5DC43733" w14:textId="30A4DBA6" w:rsidR="00C244FE" w:rsidRPr="002C44D3" w:rsidRDefault="00C244FE" w:rsidP="002C44D3">
      <w:pPr>
        <w:pStyle w:val="NormalWeb"/>
        <w:ind w:left="720"/>
        <w:rPr>
          <w:rFonts w:asciiTheme="minorHAnsi" w:hAnsiTheme="minorHAnsi" w:cstheme="minorHAnsi"/>
          <w:color w:val="0070C0"/>
          <w:lang w:val="el-GR"/>
        </w:rPr>
      </w:pPr>
      <w:r w:rsidRPr="002C44D3">
        <w:rPr>
          <w:rFonts w:asciiTheme="minorHAnsi" w:hAnsiTheme="minorHAnsi" w:cstheme="minorHAnsi"/>
          <w:color w:val="0070C0"/>
          <w:lang w:val="el-GR"/>
        </w:rPr>
        <w:t xml:space="preserve">Οι συσκευασίες αντιπροσωπεύουν το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40% των πλαστικών</w:t>
      </w:r>
      <w:r w:rsidRPr="002C44D3">
        <w:rPr>
          <w:rFonts w:asciiTheme="minorHAnsi" w:hAnsiTheme="minorHAnsi" w:cstheme="minorHAnsi"/>
          <w:color w:val="0070C0"/>
          <w:lang w:val="el-GR"/>
        </w:rPr>
        <w:t xml:space="preserve"> και το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50% του χαρτιού</w:t>
      </w:r>
      <w:r w:rsidRPr="002C44D3">
        <w:rPr>
          <w:rFonts w:asciiTheme="minorHAnsi" w:hAnsiTheme="minorHAnsi" w:cstheme="minorHAnsi"/>
          <w:color w:val="0070C0"/>
          <w:lang w:val="el-GR"/>
        </w:rPr>
        <w:t xml:space="preserve"> που χρησιμοποιείται στην ΕΕ.</w:t>
      </w:r>
    </w:p>
    <w:p w14:paraId="31973EDB" w14:textId="5B27D24A" w:rsidR="00AB758E" w:rsidRPr="002C44D3" w:rsidRDefault="00AB758E" w:rsidP="00EF6D4A">
      <w:pPr>
        <w:pStyle w:val="cvgsua"/>
        <w:numPr>
          <w:ilvl w:val="0"/>
          <w:numId w:val="1"/>
        </w:numPr>
        <w:rPr>
          <w:rStyle w:val="oypena"/>
          <w:rFonts w:asciiTheme="minorHAnsi" w:hAnsiTheme="minorHAnsi" w:cstheme="minorHAnsi"/>
          <w:color w:val="67595E"/>
          <w:lang w:val="en-US"/>
        </w:rPr>
      </w:pP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Packaging waste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increased by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more than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20% over the last 10 years</w:t>
      </w:r>
      <w:r w:rsidRPr="002C44D3">
        <w:rPr>
          <w:rFonts w:asciiTheme="minorHAnsi" w:hAnsiTheme="minorHAnsi" w:cstheme="minorHAnsi"/>
          <w:color w:val="67595E"/>
          <w:lang w:val="en-US"/>
        </w:rPr>
        <w:t xml:space="preserve"> 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in the EU, in particular as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single-use packaging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>, and will</w:t>
      </w:r>
      <w:r w:rsidRPr="002C44D3">
        <w:rPr>
          <w:rFonts w:asciiTheme="minorHAnsi" w:hAnsiTheme="minorHAnsi" w:cstheme="minorHAnsi"/>
          <w:color w:val="67595E"/>
          <w:lang w:val="en-US"/>
        </w:rPr>
        <w:t xml:space="preserve"> 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>increase by another 19% until 2030.</w:t>
      </w:r>
    </w:p>
    <w:p w14:paraId="4CB84168" w14:textId="0CCE4E61" w:rsidR="00C244FE" w:rsidRPr="002C44D3" w:rsidRDefault="00C244FE" w:rsidP="00EF6D4A">
      <w:pPr>
        <w:pStyle w:val="cvgsua"/>
        <w:ind w:left="720"/>
        <w:rPr>
          <w:rFonts w:asciiTheme="minorHAnsi" w:hAnsiTheme="minorHAnsi" w:cstheme="minorHAnsi"/>
          <w:color w:val="0070C0"/>
          <w:lang w:val="el-GR"/>
        </w:rPr>
      </w:pPr>
      <w:r w:rsidRPr="002C44D3">
        <w:rPr>
          <w:rFonts w:asciiTheme="minorHAnsi" w:hAnsiTheme="minorHAnsi" w:cstheme="minorHAnsi"/>
          <w:color w:val="0070C0"/>
          <w:lang w:val="el-GR"/>
        </w:rPr>
        <w:t>Τα απ</w:t>
      </w:r>
      <w:r w:rsidR="002C44D3" w:rsidRPr="002C44D3">
        <w:rPr>
          <w:rFonts w:asciiTheme="minorHAnsi" w:hAnsiTheme="minorHAnsi" w:cstheme="minorHAnsi"/>
          <w:color w:val="0070C0"/>
          <w:lang w:val="el-GR"/>
        </w:rPr>
        <w:t>όβλητα</w:t>
      </w:r>
      <w:r w:rsidRPr="002C44D3">
        <w:rPr>
          <w:rFonts w:asciiTheme="minorHAnsi" w:hAnsiTheme="minorHAnsi" w:cstheme="minorHAnsi"/>
          <w:color w:val="0070C0"/>
          <w:lang w:val="el-GR"/>
        </w:rPr>
        <w:t xml:space="preserve"> συσκευασίας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αυξήθηκαν περισσότερο από 20% τα τελευταία δέκα χρόνια</w:t>
      </w:r>
      <w:r w:rsidRPr="002C44D3">
        <w:rPr>
          <w:rFonts w:asciiTheme="minorHAnsi" w:hAnsiTheme="minorHAnsi" w:cstheme="minorHAnsi"/>
          <w:color w:val="0070C0"/>
          <w:lang w:val="el-GR"/>
        </w:rPr>
        <w:t xml:space="preserve"> στην ΕΕ, ιδίως ως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συσκευασίες μιας χρήσης</w:t>
      </w:r>
      <w:r w:rsidRPr="002C44D3">
        <w:rPr>
          <w:rFonts w:asciiTheme="minorHAnsi" w:hAnsiTheme="minorHAnsi" w:cstheme="minorHAnsi"/>
          <w:color w:val="0070C0"/>
          <w:lang w:val="el-GR"/>
        </w:rPr>
        <w:t>, και θα αυξηθούν ακόμη κατά 19% έως το 2030.</w:t>
      </w:r>
    </w:p>
    <w:p w14:paraId="4CAB510C" w14:textId="4D764FA4" w:rsidR="00AB758E" w:rsidRPr="002C44D3" w:rsidRDefault="00AB758E" w:rsidP="00EF6D4A">
      <w:pPr>
        <w:pStyle w:val="cvgsua"/>
        <w:numPr>
          <w:ilvl w:val="0"/>
          <w:numId w:val="1"/>
        </w:numPr>
        <w:rPr>
          <w:rStyle w:val="oypena"/>
          <w:rFonts w:asciiTheme="minorHAnsi" w:hAnsiTheme="minorHAnsi" w:cstheme="minorHAnsi"/>
          <w:color w:val="67595E"/>
          <w:lang w:val="en-US"/>
        </w:rPr>
      </w:pP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Packaging causes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C</w:t>
      </w:r>
      <w:r w:rsidR="002C44D3">
        <w:rPr>
          <w:rStyle w:val="oypena"/>
          <w:rFonts w:asciiTheme="minorHAnsi" w:hAnsiTheme="minorHAnsi" w:cstheme="minorHAnsi"/>
          <w:b/>
          <w:bCs/>
          <w:color w:val="67595E"/>
          <w:lang w:val="el-GR"/>
        </w:rPr>
        <w:t>Ο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2 emissions,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they are projected to reach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 xml:space="preserve">66 million </w:t>
      </w:r>
      <w:r w:rsidR="002C44D3"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ton</w:t>
      </w:r>
      <w:r w:rsidR="00ED6571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ne</w:t>
      </w:r>
      <w:r w:rsidR="002C44D3"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s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 xml:space="preserve"> 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>of CO</w:t>
      </w:r>
      <w:r w:rsidRPr="002C44D3">
        <w:rPr>
          <w:rStyle w:val="oypena"/>
          <w:rFonts w:asciiTheme="minorHAnsi" w:hAnsiTheme="minorHAnsi" w:cstheme="minorHAnsi"/>
          <w:color w:val="67595E"/>
          <w:vertAlign w:val="subscript"/>
          <w:lang w:val="en-US"/>
        </w:rPr>
        <w:t>2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in 2030.</w:t>
      </w:r>
    </w:p>
    <w:p w14:paraId="13D5C225" w14:textId="4A75565A" w:rsidR="00C244FE" w:rsidRPr="002C44D3" w:rsidRDefault="00C244FE" w:rsidP="00EF6D4A">
      <w:pPr>
        <w:pStyle w:val="cvgsua"/>
        <w:ind w:left="720"/>
        <w:rPr>
          <w:rStyle w:val="oypena"/>
          <w:rFonts w:asciiTheme="minorHAnsi" w:hAnsiTheme="minorHAnsi" w:cstheme="minorHAnsi"/>
          <w:color w:val="0070C0"/>
          <w:lang w:val="el-GR"/>
        </w:rPr>
      </w:pP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>Τα απ</w:t>
      </w:r>
      <w:r w:rsidR="002C44D3" w:rsidRPr="002C44D3">
        <w:rPr>
          <w:rStyle w:val="oypena"/>
          <w:rFonts w:asciiTheme="minorHAnsi" w:hAnsiTheme="minorHAnsi" w:cstheme="minorHAnsi"/>
          <w:color w:val="0070C0"/>
          <w:lang w:val="el-GR"/>
        </w:rPr>
        <w:t>όβλητα</w:t>
      </w: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 xml:space="preserve"> συσκευασίας προκαλούν </w:t>
      </w:r>
      <w:r w:rsidRPr="002C44D3">
        <w:rPr>
          <w:rStyle w:val="oypena"/>
          <w:rFonts w:asciiTheme="minorHAnsi" w:hAnsiTheme="minorHAnsi" w:cstheme="minorHAnsi"/>
          <w:b/>
          <w:bCs/>
          <w:color w:val="0070C0"/>
          <w:lang w:val="el-GR"/>
        </w:rPr>
        <w:t xml:space="preserve">εκπομπές </w:t>
      </w:r>
      <w:r w:rsidR="002C44D3" w:rsidRPr="002C44D3">
        <w:rPr>
          <w:rStyle w:val="oypena"/>
          <w:rFonts w:asciiTheme="minorHAnsi" w:hAnsiTheme="minorHAnsi" w:cstheme="minorHAnsi"/>
          <w:color w:val="0070C0"/>
          <w:lang w:val="en-US"/>
        </w:rPr>
        <w:t>CO</w:t>
      </w:r>
      <w:r w:rsidR="002C44D3" w:rsidRPr="002C44D3">
        <w:rPr>
          <w:rStyle w:val="oypena"/>
          <w:rFonts w:asciiTheme="minorHAnsi" w:hAnsiTheme="minorHAnsi" w:cstheme="minorHAnsi"/>
          <w:color w:val="0070C0"/>
          <w:vertAlign w:val="subscript"/>
          <w:lang w:val="el-GR"/>
        </w:rPr>
        <w:t>2</w:t>
      </w:r>
      <w:r w:rsidR="002C44D3" w:rsidRPr="002C44D3">
        <w:rPr>
          <w:rStyle w:val="oypena"/>
          <w:rFonts w:asciiTheme="minorHAnsi" w:hAnsiTheme="minorHAnsi" w:cstheme="minorHAnsi"/>
          <w:color w:val="0070C0"/>
          <w:vertAlign w:val="subscript"/>
          <w:lang w:val="el-GR"/>
        </w:rPr>
        <w:t xml:space="preserve"> </w:t>
      </w: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 xml:space="preserve"> οι οποίες προβλέπεται να φτάσουν τους </w:t>
      </w:r>
      <w:r w:rsidRPr="002C44D3">
        <w:rPr>
          <w:rStyle w:val="oypena"/>
          <w:rFonts w:asciiTheme="minorHAnsi" w:hAnsiTheme="minorHAnsi" w:cstheme="minorHAnsi"/>
          <w:b/>
          <w:bCs/>
          <w:color w:val="0070C0"/>
          <w:lang w:val="el-GR"/>
        </w:rPr>
        <w:t>66 εκατομμύρια τόνους το 2030</w:t>
      </w: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>.</w:t>
      </w:r>
    </w:p>
    <w:p w14:paraId="550156EE" w14:textId="47B6C67A" w:rsidR="00AB758E" w:rsidRPr="002C44D3" w:rsidRDefault="00AB758E" w:rsidP="00EF6D4A">
      <w:pPr>
        <w:pStyle w:val="cvgsua"/>
        <w:numPr>
          <w:ilvl w:val="0"/>
          <w:numId w:val="1"/>
        </w:numPr>
        <w:rPr>
          <w:rStyle w:val="oypena"/>
          <w:rFonts w:asciiTheme="minorHAnsi" w:hAnsiTheme="minorHAnsi" w:cstheme="minorHAnsi"/>
          <w:color w:val="67595E"/>
          <w:lang w:val="en-US"/>
        </w:rPr>
      </w:pP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Packaging contributes to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soil and land pollution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, and is about half of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marine littering.</w:t>
      </w:r>
    </w:p>
    <w:p w14:paraId="140A3C2B" w14:textId="52948490" w:rsidR="00130E54" w:rsidRPr="002C44D3" w:rsidRDefault="00130E54" w:rsidP="002C44D3">
      <w:pPr>
        <w:pStyle w:val="cvgsua"/>
        <w:ind w:left="720"/>
        <w:jc w:val="both"/>
        <w:rPr>
          <w:rStyle w:val="oypena"/>
          <w:rFonts w:asciiTheme="minorHAnsi" w:hAnsiTheme="minorHAnsi" w:cstheme="minorHAnsi"/>
          <w:color w:val="0070C0"/>
          <w:lang w:val="el-GR"/>
        </w:rPr>
      </w:pP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>Τα απ</w:t>
      </w:r>
      <w:r w:rsidR="002C44D3" w:rsidRPr="002C44D3">
        <w:rPr>
          <w:rStyle w:val="oypena"/>
          <w:rFonts w:asciiTheme="minorHAnsi" w:hAnsiTheme="minorHAnsi" w:cstheme="minorHAnsi"/>
          <w:color w:val="0070C0"/>
          <w:lang w:val="el-GR"/>
        </w:rPr>
        <w:t>όβλητα</w:t>
      </w: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 xml:space="preserve"> συσκευασίας συμβάλλουν στη ρύπανση του εδάφους και των υπόγειων υδάτων και είναι ευθύνονται περίπου για το ήμισυ της </w:t>
      </w:r>
      <w:r w:rsidRPr="002C44D3">
        <w:rPr>
          <w:rStyle w:val="oypena"/>
          <w:rFonts w:asciiTheme="minorHAnsi" w:hAnsiTheme="minorHAnsi" w:cstheme="minorHAnsi"/>
          <w:b/>
          <w:bCs/>
          <w:color w:val="0070C0"/>
          <w:lang w:val="el-GR"/>
        </w:rPr>
        <w:t>θαλάσσιας ρύπανσης</w:t>
      </w:r>
      <w:r w:rsidRPr="002C44D3">
        <w:rPr>
          <w:rStyle w:val="oypena"/>
          <w:rFonts w:asciiTheme="minorHAnsi" w:hAnsiTheme="minorHAnsi" w:cstheme="minorHAnsi"/>
          <w:color w:val="0070C0"/>
          <w:lang w:val="el-GR"/>
        </w:rPr>
        <w:t>.</w:t>
      </w:r>
    </w:p>
    <w:p w14:paraId="0E235ACD" w14:textId="2D69EFFA" w:rsidR="00AB758E" w:rsidRPr="002C44D3" w:rsidRDefault="00AB758E" w:rsidP="00EF6D4A">
      <w:pPr>
        <w:pStyle w:val="cvgsua"/>
        <w:numPr>
          <w:ilvl w:val="0"/>
          <w:numId w:val="1"/>
        </w:numPr>
        <w:rPr>
          <w:rStyle w:val="oypena"/>
          <w:rFonts w:asciiTheme="minorHAnsi" w:hAnsiTheme="minorHAnsi" w:cstheme="minorHAnsi"/>
          <w:color w:val="67595E"/>
          <w:lang w:val="en-US"/>
        </w:rPr>
      </w:pP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Over the past decade, there has been a significant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>decrease in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 xml:space="preserve"> the 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 xml:space="preserve">reuse of packaging, 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>while this would be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 xml:space="preserve"> </w:t>
      </w:r>
      <w:r w:rsidRPr="002C44D3">
        <w:rPr>
          <w:rStyle w:val="oypena"/>
          <w:rFonts w:asciiTheme="minorHAnsi" w:hAnsiTheme="minorHAnsi" w:cstheme="minorHAnsi"/>
          <w:color w:val="67595E"/>
          <w:lang w:val="en-US"/>
        </w:rPr>
        <w:t>a</w:t>
      </w:r>
      <w:r w:rsidRPr="002C44D3">
        <w:rPr>
          <w:rStyle w:val="oypena"/>
          <w:rFonts w:asciiTheme="minorHAnsi" w:hAnsiTheme="minorHAnsi" w:cstheme="minorHAnsi"/>
          <w:b/>
          <w:bCs/>
          <w:color w:val="67595E"/>
          <w:lang w:val="en-US"/>
        </w:rPr>
        <w:t xml:space="preserve"> key prevention measure.</w:t>
      </w:r>
    </w:p>
    <w:p w14:paraId="2AFB1FF4" w14:textId="3DA58E6E" w:rsidR="00130E54" w:rsidRPr="002C44D3" w:rsidRDefault="00130E54" w:rsidP="00EF6D4A">
      <w:pPr>
        <w:pStyle w:val="cvgsua"/>
        <w:ind w:left="720"/>
        <w:rPr>
          <w:rFonts w:asciiTheme="minorHAnsi" w:hAnsiTheme="minorHAnsi" w:cstheme="minorHAnsi"/>
          <w:color w:val="0070C0"/>
          <w:lang w:val="el-GR"/>
        </w:rPr>
      </w:pPr>
      <w:r w:rsidRPr="002C44D3">
        <w:rPr>
          <w:rFonts w:asciiTheme="minorHAnsi" w:hAnsiTheme="minorHAnsi" w:cstheme="minorHAnsi"/>
          <w:color w:val="0070C0"/>
          <w:lang w:val="el-GR"/>
        </w:rPr>
        <w:t xml:space="preserve">Την τελευταία δεκαετία σημειώθηκε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σημαντική μείωση στην επαναχρησιμοποίηση των συσκευασιών</w:t>
      </w:r>
      <w:r w:rsidRPr="002C44D3">
        <w:rPr>
          <w:rFonts w:asciiTheme="minorHAnsi" w:hAnsiTheme="minorHAnsi" w:cstheme="minorHAnsi"/>
          <w:color w:val="0070C0"/>
          <w:lang w:val="el-GR"/>
        </w:rPr>
        <w:t xml:space="preserve">, παρόλο που αυτό θα αποτελούσε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βασικό μέτρο πρόληψης</w:t>
      </w:r>
      <w:r w:rsidRPr="002C44D3">
        <w:rPr>
          <w:rFonts w:asciiTheme="minorHAnsi" w:hAnsiTheme="minorHAnsi" w:cstheme="minorHAnsi"/>
          <w:color w:val="0070C0"/>
          <w:lang w:val="el-GR"/>
        </w:rPr>
        <w:t>.</w:t>
      </w:r>
    </w:p>
    <w:p w14:paraId="1936358C" w14:textId="4C9C5C84" w:rsidR="00EF6D4A" w:rsidRPr="002C44D3" w:rsidRDefault="002C44D3" w:rsidP="00ED6571">
      <w:pPr>
        <w:pStyle w:val="cvgsua"/>
        <w:spacing w:before="0" w:beforeAutospacing="0" w:after="0" w:afterAutospacing="0"/>
        <w:ind w:left="720"/>
        <w:rPr>
          <w:rStyle w:val="oypena"/>
          <w:rFonts w:asciiTheme="minorHAnsi" w:hAnsiTheme="minorHAnsi" w:cstheme="minorHAnsi"/>
          <w:color w:val="0070C0"/>
          <w:lang w:val="el-GR"/>
        </w:rPr>
      </w:pPr>
      <w:r>
        <w:rPr>
          <w:rStyle w:val="oypena"/>
          <w:rFonts w:asciiTheme="minorHAnsi" w:hAnsiTheme="minorHAnsi" w:cstheme="minorHAnsi"/>
          <w:color w:val="67595E"/>
          <w:lang w:val="en-US"/>
        </w:rPr>
        <w:t xml:space="preserve">Source: </w:t>
      </w:r>
      <w:r w:rsidR="00EF6D4A" w:rsidRPr="002C44D3">
        <w:rPr>
          <w:rStyle w:val="oypena"/>
          <w:rFonts w:asciiTheme="minorHAnsi" w:hAnsiTheme="minorHAnsi" w:cstheme="minorHAnsi"/>
          <w:color w:val="0070C0"/>
          <w:lang w:val="el-GR"/>
        </w:rPr>
        <w:t>Πηγ</w:t>
      </w:r>
      <w:r>
        <w:rPr>
          <w:rStyle w:val="oypena"/>
          <w:rFonts w:asciiTheme="minorHAnsi" w:hAnsiTheme="minorHAnsi" w:cstheme="minorHAnsi"/>
          <w:color w:val="0070C0"/>
          <w:lang w:val="el-GR"/>
        </w:rPr>
        <w:t>ή</w:t>
      </w:r>
      <w:r w:rsidR="00EF6D4A" w:rsidRPr="002C44D3">
        <w:rPr>
          <w:rStyle w:val="oypena"/>
          <w:rFonts w:asciiTheme="minorHAnsi" w:hAnsiTheme="minorHAnsi" w:cstheme="minorHAnsi"/>
          <w:color w:val="0070C0"/>
          <w:lang w:val="el-GR"/>
        </w:rPr>
        <w:t>:</w:t>
      </w:r>
    </w:p>
    <w:p w14:paraId="6FC7F48A" w14:textId="4986C63E" w:rsidR="00EF6D4A" w:rsidRPr="002C44D3" w:rsidRDefault="00ED6571" w:rsidP="00ED6571">
      <w:pPr>
        <w:pStyle w:val="cvgsua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lang w:val="el-GR"/>
        </w:rPr>
      </w:pPr>
      <w:hyperlink r:id="rId5" w:history="1">
        <w:r w:rsidR="00EF6D4A" w:rsidRPr="002C44D3">
          <w:rPr>
            <w:rStyle w:val="Hyperlink"/>
            <w:rFonts w:asciiTheme="minorHAnsi" w:hAnsiTheme="minorHAnsi" w:cstheme="minorHAnsi"/>
            <w:color w:val="0070C0"/>
            <w:lang w:val="el-GR"/>
          </w:rPr>
          <w:t>https://ec.europa.eu</w:t>
        </w:r>
      </w:hyperlink>
    </w:p>
    <w:p w14:paraId="4DB455A6" w14:textId="7B05A052" w:rsidR="00EF6D4A" w:rsidRPr="002C44D3" w:rsidRDefault="00EF6D4A" w:rsidP="00ED6571">
      <w:pPr>
        <w:pStyle w:val="cvgsua"/>
        <w:spacing w:before="0" w:beforeAutospacing="0" w:after="0" w:afterAutospacing="0"/>
        <w:ind w:left="720"/>
        <w:rPr>
          <w:rFonts w:asciiTheme="minorHAnsi" w:hAnsiTheme="minorHAnsi" w:cstheme="minorHAnsi"/>
          <w:color w:val="0070C0"/>
          <w:lang w:val="el-GR"/>
        </w:rPr>
      </w:pPr>
      <w:r w:rsidRPr="002C44D3">
        <w:rPr>
          <w:rFonts w:asciiTheme="minorHAnsi" w:hAnsiTheme="minorHAnsi" w:cstheme="minorHAnsi"/>
          <w:color w:val="0070C0"/>
          <w:lang w:val="el-GR"/>
        </w:rPr>
        <w:t>Υπηρεσία Εκδόσεων της Ευρωπαϊκής Ένωσης, 2022</w:t>
      </w:r>
    </w:p>
    <w:p w14:paraId="72D60DD2" w14:textId="02B17EAF" w:rsidR="00EF6D4A" w:rsidRPr="002C44D3" w:rsidRDefault="00EF6D4A" w:rsidP="00ED6571">
      <w:pPr>
        <w:pStyle w:val="cvgsua"/>
        <w:spacing w:before="0" w:beforeAutospacing="0" w:after="0" w:afterAutospacing="0"/>
        <w:ind w:left="720"/>
        <w:rPr>
          <w:rFonts w:asciiTheme="minorHAnsi" w:hAnsiTheme="minorHAnsi" w:cstheme="minorHAnsi"/>
          <w:lang w:val="en-US"/>
        </w:rPr>
      </w:pPr>
      <w:r w:rsidRPr="002C44D3">
        <w:rPr>
          <w:rFonts w:asciiTheme="minorHAnsi" w:hAnsiTheme="minorHAnsi" w:cstheme="minorHAnsi"/>
          <w:lang w:val="en-US"/>
        </w:rPr>
        <w:t>EWWR 2023: PACKAGING</w:t>
      </w:r>
    </w:p>
    <w:p w14:paraId="6BEA8064" w14:textId="6C79FE87" w:rsidR="00EF6D4A" w:rsidRPr="002C44D3" w:rsidRDefault="00EF6D4A" w:rsidP="00ED6571">
      <w:pPr>
        <w:pStyle w:val="cvgsua"/>
        <w:spacing w:before="0" w:beforeAutospacing="0" w:after="0" w:afterAutospacing="0"/>
        <w:ind w:left="720"/>
        <w:rPr>
          <w:rFonts w:asciiTheme="minorHAnsi" w:hAnsiTheme="minorHAnsi" w:cstheme="minorHAnsi"/>
          <w:lang w:val="en-US"/>
        </w:rPr>
      </w:pPr>
      <w:r w:rsidRPr="002C44D3">
        <w:rPr>
          <w:rFonts w:asciiTheme="minorHAnsi" w:hAnsiTheme="minorHAnsi" w:cstheme="minorHAnsi"/>
          <w:lang w:val="en-US"/>
        </w:rPr>
        <w:t>18 - 26 NOVEMBER 2023</w:t>
      </w:r>
    </w:p>
    <w:p w14:paraId="36C99477" w14:textId="3AF1FADF" w:rsidR="00EF6D4A" w:rsidRPr="002C44D3" w:rsidRDefault="00EF6D4A" w:rsidP="00ED6571">
      <w:pPr>
        <w:pStyle w:val="cvgsua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70C0"/>
          <w:lang w:val="en-US"/>
        </w:rPr>
      </w:pPr>
      <w:r w:rsidRPr="002C44D3">
        <w:rPr>
          <w:rFonts w:asciiTheme="minorHAnsi" w:hAnsiTheme="minorHAnsi" w:cstheme="minorHAnsi"/>
          <w:b/>
          <w:bCs/>
          <w:color w:val="0070C0"/>
          <w:lang w:val="en-US"/>
        </w:rPr>
        <w:t xml:space="preserve">EWWR 2023: </w:t>
      </w: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ΣΥΣΚΕΥΑΣΙΕΣ</w:t>
      </w:r>
    </w:p>
    <w:p w14:paraId="6E51632F" w14:textId="655869D7" w:rsidR="00EF6D4A" w:rsidRPr="002C44D3" w:rsidRDefault="00EF6D4A" w:rsidP="00ED6571">
      <w:pPr>
        <w:pStyle w:val="cvgsua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70C0"/>
          <w:lang w:val="el-GR"/>
        </w:rPr>
      </w:pPr>
      <w:r w:rsidRPr="002C44D3">
        <w:rPr>
          <w:rFonts w:asciiTheme="minorHAnsi" w:hAnsiTheme="minorHAnsi" w:cstheme="minorHAnsi"/>
          <w:b/>
          <w:bCs/>
          <w:color w:val="0070C0"/>
          <w:lang w:val="el-GR"/>
        </w:rPr>
        <w:t>18 - 26 ΝΟΕΜΒΡΙΟΥ 2023</w:t>
      </w:r>
    </w:p>
    <w:p w14:paraId="3242AE6B" w14:textId="77777777" w:rsidR="00EF6D4A" w:rsidRPr="002C44D3" w:rsidRDefault="00EF6D4A" w:rsidP="00ED6571">
      <w:pPr>
        <w:pStyle w:val="cvgsua"/>
        <w:spacing w:before="0" w:beforeAutospacing="0" w:after="0" w:afterAutospacing="0"/>
        <w:rPr>
          <w:rFonts w:asciiTheme="minorHAnsi" w:hAnsiTheme="minorHAnsi" w:cstheme="minorHAnsi"/>
          <w:lang w:val="el-GR"/>
        </w:rPr>
      </w:pPr>
    </w:p>
    <w:sectPr w:rsidR="00EF6D4A" w:rsidRPr="002C44D3" w:rsidSect="00ED6571">
      <w:pgSz w:w="11906" w:h="16838"/>
      <w:pgMar w:top="99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409"/>
    <w:multiLevelType w:val="hybridMultilevel"/>
    <w:tmpl w:val="8C5410D8"/>
    <w:lvl w:ilvl="0" w:tplc="F88A4D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2234"/>
    <w:multiLevelType w:val="hybridMultilevel"/>
    <w:tmpl w:val="CC00CBE6"/>
    <w:lvl w:ilvl="0" w:tplc="C47A37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237"/>
    <w:multiLevelType w:val="hybridMultilevel"/>
    <w:tmpl w:val="DD34BD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6923">
    <w:abstractNumId w:val="2"/>
  </w:num>
  <w:num w:numId="2" w16cid:durableId="1447459426">
    <w:abstractNumId w:val="1"/>
  </w:num>
  <w:num w:numId="3" w16cid:durableId="72275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8E"/>
    <w:rsid w:val="00130E54"/>
    <w:rsid w:val="002C44D3"/>
    <w:rsid w:val="002E47BE"/>
    <w:rsid w:val="00676506"/>
    <w:rsid w:val="009309D0"/>
    <w:rsid w:val="00AB758E"/>
    <w:rsid w:val="00C244FE"/>
    <w:rsid w:val="00ED6571"/>
    <w:rsid w:val="00E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5498"/>
  <w15:chartTrackingRefBased/>
  <w15:docId w15:val="{1B40A225-36C1-4B1E-92E6-F1C7FB0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paragraph" w:customStyle="1" w:styleId="cvgsua">
    <w:name w:val="cvgsua"/>
    <w:basedOn w:val="Normal"/>
    <w:rsid w:val="00A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oypena">
    <w:name w:val="oypena"/>
    <w:basedOn w:val="DefaultParagraphFont"/>
    <w:rsid w:val="00AB758E"/>
  </w:style>
  <w:style w:type="table" w:styleId="TableGrid">
    <w:name w:val="Table Grid"/>
    <w:basedOn w:val="TableNormal"/>
    <w:uiPriority w:val="39"/>
    <w:rsid w:val="00AB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Amate Padilla</dc:creator>
  <cp:keywords/>
  <dc:description/>
  <cp:lastModifiedBy>R.MARINI</cp:lastModifiedBy>
  <cp:revision>4</cp:revision>
  <dcterms:created xsi:type="dcterms:W3CDTF">2023-09-01T12:11:00Z</dcterms:created>
  <dcterms:modified xsi:type="dcterms:W3CDTF">2023-09-06T13:27:00Z</dcterms:modified>
</cp:coreProperties>
</file>